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迷河风月  第2卷  荒唐年代</w:t>
      </w:r>
    </w:p>
    <w:p>
      <w:r>
        <w:rPr>
          <w:rFonts w:ascii="宋体" w:hAnsi="宋体" w:eastAsia="宋体"/>
          <w:sz w:val="24"/>
        </w:rPr>
        <w:t>陈可荣编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迷河风月  第2卷  荒唐年代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本书出售、求购地址：https://www.jiaokey.com/book/detail/11568013.html</w:t>
      </w:r>
    </w:p>
    <w:p>
      <w:r>
        <w:t>更多相关图书推荐：https://www.jiaokey.com</w:t>
      </w:r>
    </w:p>
    <w:p>
      <w:r>
        <w:t>陈可荣编 其他作品：https://www.jiaokey.com/tag/陈可荣编.html</w:t>
      </w:r>
    </w:p>
    <w:p>
      <w:r>
        <w:t>香港：中华文华出版社 出版图书：https://www.jiaokey.com/tag/香港：中华文华出版社.html</w:t>
      </w:r>
    </w:p>
    <w:p>
      <w:r>
        <w:t>关键词搜索：https://www.jiaokey.com/tag/迷河风月  第2卷  荒唐年代.html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