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神经内科病临床诊治</w:t>
      </w:r>
    </w:p>
    <w:p>
      <w:r>
        <w:rPr>
          <w:rFonts w:ascii="宋体" w:hAnsi="宋体" w:eastAsia="宋体"/>
          <w:sz w:val="24"/>
        </w:rPr>
        <w:t>赵建军主编；王健，王晓燕，任吉祥，李霞，金曦，赵建军，赵德喜，南红梅，贾波，徐文玉，隋春晖，程远编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赵建军主编；王健，王晓燕，任吉祥，李霞，金曦，赵建军，赵德喜，南红梅，贾波，徐文玉，隋春晖，程远编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本书出售、求购地址：https://www.jiaokey.com/book/detail/11567791.html</w:t>
      </w:r>
    </w:p>
    <w:p>
      <w:r>
        <w:t>更多相关图书推荐：https://www.jiaokey.com</w:t>
      </w:r>
    </w:p>
    <w:p>
      <w:r>
        <w:t>赵建军主编；王健，王晓燕，任吉祥，李霞，金曦，赵建军，赵德喜，南红梅，贾波，徐文玉，隋春晖，程远编 其他作品：https://www.jiaokey.com/tag/赵建军主编；王健，王晓燕，任吉祥，李霞，金曦，赵建军，赵德喜，南红梅，贾波，徐文玉，隋春晖，程远编.html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关键词搜索：https://www.jiaokey.com/tag/神经内科病临床诊治.html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