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医疗纠纷案例分析与防范对策  第2版</w:t>
      </w:r>
    </w:p>
    <w:p>
      <w:r>
        <w:rPr>
          <w:rFonts w:ascii="宋体" w:hAnsi="宋体" w:eastAsia="宋体"/>
          <w:sz w:val="24"/>
        </w:rPr>
        <w:t>徐玉生，李利，姚原理主编；马海燕，王本印，王炜振，代云华，任浩，沙启娟，赵德成，谢静副主编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医疗纠纷案例分析与防范对策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徐玉生，李利，姚原理主编；马海燕，王本印，王炜振，代云华，任浩，沙启娟，赵德成，谢静副主编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本书出售、求购地址：https://www.jiaokey.com/book/detail/11566709.html</w:t>
      </w:r>
    </w:p>
    <w:p>
      <w:r>
        <w:t>更多相关图书推荐：https://www.jiaokey.com</w:t>
      </w:r>
    </w:p>
    <w:p>
      <w:r>
        <w:t>徐玉生，李利，姚原理主编；马海燕，王本印，王炜振，代云华，任浩，沙启娟，赵德成，谢静副主编 其他作品：https://www.jiaokey.com/tag/徐玉生，李利，姚原理主编；马海燕，王本印，王炜振，代云华，任浩，沙启娟，赵德成，谢静副主编.html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关键词搜索：https://www.jiaokey.com/tag/医疗纠纷案例分析与防范对策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