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涉港澳商事案例精选精析</w:t>
      </w:r>
    </w:p>
    <w:p>
      <w:r>
        <w:rPr>
          <w:rFonts w:ascii="宋体" w:hAnsi="宋体" w:eastAsia="宋体"/>
          <w:sz w:val="24"/>
        </w:rPr>
        <w:t>广东省高级人民法院编；吕伯涛主编；李琦，陶凯元副主编；郑新俭，陈友强，欧阳振远，张耀军，郑舜贤，郑海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涉港澳商事案例精选精析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广东省高级人民法院编；吕伯涛主编；李琦，陶凯元副主编；郑新俭，陈友强，欧阳振远，张耀军，郑舜贤，郑海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本书出售、求购地址：https://www.jiaokey.com/book/detail/11566669.html</w:t>
      </w:r>
    </w:p>
    <w:p>
      <w:r>
        <w:t>更多相关图书推荐：https://www.jiaokey.com</w:t>
      </w:r>
    </w:p>
    <w:p>
      <w:r>
        <w:t>广东省高级人民法院编；吕伯涛主编；李琦，陶凯元副主编；郑新俭，陈友强，欧阳振远，张耀军，郑舜贤，郑海 其他作品：https://www.jiaokey.com/tag/广东省高级人民法院编；吕伯涛主编；李琦，陶凯元副主编；郑新俭，陈友强，欧阳振远，张耀军，郑舜贤，郑海.html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关键词搜索：https://www.jiaokey.com/tag/涉港澳商事案例精选精析.html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