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老年高血压防治与调养</w:t>
      </w:r>
    </w:p>
    <w:p>
      <w:r>
        <w:rPr>
          <w:rFonts w:ascii="宋体" w:hAnsi="宋体" w:eastAsia="宋体"/>
          <w:sz w:val="24"/>
        </w:rPr>
        <w:t>吴华国，陈宇春主编；邓科生，赵海婴，闵继瑛，周亚林，熊晶辉，张传松，余博，刘超英编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老年高血压防治与调养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吴华国，陈宇春主编；邓科生，赵海婴，闵继瑛，周亚林，熊晶辉，张传松，余博，刘超英编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本书出售、求购地址：https://www.jiaokey.com/book/detail/11563155.html</w:t>
      </w:r>
    </w:p>
    <w:p>
      <w:r>
        <w:t>更多相关图书推荐：https://www.jiaokey.com</w:t>
      </w:r>
    </w:p>
    <w:p>
      <w:r>
        <w:t>吴华国，陈宇春主编；邓科生，赵海婴，闵继瑛，周亚林，熊晶辉，张传松，余博，刘超英编 其他作品：https://www.jiaokey.com/tag/吴华国，陈宇春主编；邓科生，赵海婴，闵继瑛，周亚林，熊晶辉，张传松，余博，刘超英编.html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关键词搜索：https://www.jiaokey.com/tag/老年高血压防治与调养.html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