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著作权案例评析</w:t>
      </w:r>
    </w:p>
    <w:p>
      <w:r>
        <w:rPr>
          <w:rFonts w:ascii="宋体" w:hAnsi="宋体" w:eastAsia="宋体"/>
          <w:sz w:val="24"/>
        </w:rPr>
        <w:t>齐相潼，李敉力主编；方新定等编写；中国版权保护中心，新闻出版总署人事教育司编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齐相潼，李敉力主编；方新定等编写；中国版权保护中心，新闻出版总署人事教育司编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本书出售、求购地址：https://www.jiaokey.com/book/detail/11562063.html</w:t>
      </w:r>
    </w:p>
    <w:p>
      <w:r>
        <w:t>更多相关图书推荐：https://www.jiaokey.com</w:t>
      </w:r>
    </w:p>
    <w:p>
      <w:r>
        <w:t>齐相潼，李敉力主编；方新定等编写；中国版权保护中心，新闻出版总署人事教育司编 其他作品：https://www.jiaokey.com/tag/齐相潼，李敉力主编；方新定等编写；中国版权保护中心，新闻出版总署人事教育司编.html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关键词搜索：https://www.jiaokey.com/tag/著作权案例评析.html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