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直面禽流感</w:t>
      </w:r>
    </w:p>
    <w:p>
      <w:r>
        <w:rPr>
          <w:rFonts w:ascii="宋体" w:hAnsi="宋体" w:eastAsia="宋体"/>
          <w:sz w:val="24"/>
        </w:rPr>
        <w:t>重庆市防治高致病性禽流感指挥部编；陈光国主编；王健副主编；何学良，汤明，黄君一，杜成才，蒋茹等编写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直面禽流感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重庆市防治高致病性禽流感指挥部编；陈光国主编；王健副主编；何学良，汤明，黄君一，杜成才，蒋茹等编写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本书出售、求购地址：https://www.jiaokey.com/book/detail/11560714.html</w:t>
      </w:r>
    </w:p>
    <w:p>
      <w:r>
        <w:t>更多相关图书推荐：https://www.jiaokey.com</w:t>
      </w:r>
    </w:p>
    <w:p>
      <w:r>
        <w:t>重庆市防治高致病性禽流感指挥部编；陈光国主编；王健副主编；何学良，汤明，黄君一，杜成才，蒋茹等编写 其他作品：https://www.jiaokey.com/tag/重庆市防治高致病性禽流感指挥部编；陈光国主编；王健副主编；何学良，汤明，黄君一，杜成才，蒋茹等编写.html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关键词搜索：https://www.jiaokey.com/tag/直面禽流感.html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