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东亚的复兴  以500年、150年和50年为视角</w:t>
      </w:r>
    </w:p>
    <w:p>
      <w:r>
        <w:rPr>
          <w:rFonts w:ascii="宋体" w:hAnsi="宋体" w:eastAsia="宋体"/>
          <w:sz w:val="24"/>
        </w:rPr>
        <w:t>（美）乔万尼·阿里吉，（日）滨下武志，（美）马克·塞尔登主编；马援译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东亚的复兴  以500年、150年和50年为视角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（美）乔万尼·阿里吉，（日）滨下武志，（美）马克·塞尔登主编；马援译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本书出售、求购地址：https://www.jiaokey.com/book/detail/11560521.html</w:t>
      </w:r>
    </w:p>
    <w:p>
      <w:r>
        <w:t>更多相关图书推荐：https://www.jiaokey.com</w:t>
      </w:r>
    </w:p>
    <w:p>
      <w:r>
        <w:t>（美）乔万尼·阿里吉，（日）滨下武志，（美）马克·塞尔登主编；马援译 其他作品：https://www.jiaokey.com/tag/（美）乔万尼·阿里吉，（日）滨下武志，（美）马克·塞尔登主编；马援译.html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关键词搜索：https://www.jiaokey.com/tag/东亚的复兴  以500年、150年和50年为视角.html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