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都市儿童生存指南  性别  差异</w:t>
      </w:r>
    </w:p>
    <w:p>
      <w:r>
        <w:rPr>
          <w:rFonts w:ascii="宋体" w:hAnsi="宋体" w:eastAsia="宋体"/>
          <w:sz w:val="24"/>
        </w:rPr>
        <w:t>（法）格维那埃尔·布雷等原著；（法）贝阿特里斯·罗德里格等插图；蒋益华翻译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都市儿童生存指南  性别  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（法）格维那埃尔·布雷等原著；（法）贝阿特里斯·罗德里格等插图；蒋益华翻译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本书出售、求购地址：https://www.jiaokey.com/book/detail/11560204.html</w:t>
      </w:r>
    </w:p>
    <w:p>
      <w:r>
        <w:t>更多相关图书推荐：https://www.jiaokey.com</w:t>
      </w:r>
    </w:p>
    <w:p>
      <w:r>
        <w:t>（法）格维那埃尔·布雷等原著；（法）贝阿特里斯·罗德里格等插图；蒋益华翻译 其他作品：https://www.jiaokey.com/tag/（法）格维那埃尔·布雷等原著；（法）贝阿特里斯·罗德里格等插图；蒋益华翻译.html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关键词搜索：https://www.jiaokey.com/tag/都市儿童生存指南  性别  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