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温陵游</w:t>
      </w:r>
    </w:p>
    <w:p>
      <w:r>
        <w:rPr>
          <w:rFonts w:ascii="宋体" w:hAnsi="宋体" w:eastAsia="宋体"/>
          <w:sz w:val="24"/>
        </w:rPr>
        <w:t>庄火明主编；郑金树，黄温基，庄文彬副主编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温陵游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庄火明主编；郑金树，黄温基，庄文彬副主编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本书出售、求购地址：https://www.jiaokey.com/book/detail/11552013.html</w:t>
      </w:r>
    </w:p>
    <w:p>
      <w:r>
        <w:t>更多相关图书推荐：https://www.jiaokey.com</w:t>
      </w:r>
    </w:p>
    <w:p>
      <w:r>
        <w:t>庄火明主编；郑金树，黄温基，庄文彬副主编 其他作品：https://www.jiaokey.com/tag/庄火明主编；郑金树，黄温基，庄文彬副主编.html</w:t>
      </w:r>
    </w:p>
    <w:p>
      <w:r>
        <w:t>关键词搜索：https://www.jiaokey.com/tag/温陵游.html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