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玻璃兔子</w:t>
      </w:r>
    </w:p>
    <w:p>
      <w:r>
        <w:rPr>
          <w:rFonts w:ascii="宋体" w:hAnsi="宋体" w:eastAsia="宋体"/>
          <w:sz w:val="24"/>
        </w:rPr>
        <w:t>（日）高木敏子著；（日）武部本一郎绘；彭克巽，徐小英译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（日）高木敏子著；（日）武部本一郎绘；彭克巽，徐小英译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本书出售、求购地址：https://www.jiaokey.com/book/detail/11550521.html</w:t>
      </w:r>
    </w:p>
    <w:p>
      <w:r>
        <w:t>更多相关图书推荐：https://www.jiaokey.com</w:t>
      </w:r>
    </w:p>
    <w:p>
      <w:r>
        <w:t>（日）高木敏子著；（日）武部本一郎绘；彭克巽，徐小英译 其他作品：https://www.jiaokey.com/tag/（日）高木敏子著；（日）武部本一郎绘；彭克巽，徐小英译.html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关键词搜索：https://www.jiaokey.com/tag/玻璃兔子.html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