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普适计算  计算混沌形式</w:t>
      </w:r>
    </w:p>
    <w:p>
      <w:r>
        <w:rPr>
          <w:rFonts w:ascii="宋体" w:hAnsi="宋体" w:eastAsia="宋体"/>
          <w:sz w:val="24"/>
        </w:rPr>
        <w:t>赵海，陈燕著（东北大学信息科学与工程学院）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普适计算  计算混沌形式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赵海，陈燕著（东北大学信息科学与工程学院）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本书出售、求购地址：https://www.jiaokey.com/book/detail/11550162.html</w:t>
      </w:r>
    </w:p>
    <w:p>
      <w:r>
        <w:t>更多相关图书推荐：https://www.jiaokey.com</w:t>
      </w:r>
    </w:p>
    <w:p>
      <w:r>
        <w:t>赵海，陈燕著（东北大学信息科学与工程学院） 其他作品：https://www.jiaokey.com/tag/赵海，陈燕著（东北大学信息科学与工程学院）.html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关键词搜索：https://www.jiaokey.com/tag/普适计算  计算混沌形式.html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