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绩效驱动的客户关系管理</w:t>
      </w:r>
    </w:p>
    <w:p>
      <w:r>
        <w:rPr>
          <w:rFonts w:ascii="宋体" w:hAnsi="宋体" w:eastAsia="宋体"/>
          <w:sz w:val="24"/>
        </w:rPr>
        <w:t>（美）斯坦利·布朗（Stanley Brown），（美）穆萨·古丽兹（Moosha Gulycz）著；李惠璠，武永红主译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绩效驱动的客户关系管理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（美）斯坦利·布朗（Stanley Brown），（美）穆萨·古丽兹（Moosha Gulycz）著；李惠璠，武永红主译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本书出售、求购地址：https://www.jiaokey.com/book/detail/11549721.html</w:t>
      </w:r>
    </w:p>
    <w:p>
      <w:r>
        <w:t>更多相关图书推荐：https://www.jiaokey.com</w:t>
      </w:r>
    </w:p>
    <w:p>
      <w:r>
        <w:t>（美）斯坦利·布朗（Stanley Brown），（美）穆萨·古丽兹（Moosha Gulycz）著；李惠璠，武永红主译 其他作品：https://www.jiaokey.com/tag/（美）斯坦利·布朗（Stanley Brown），（美）穆萨·古丽兹（Moosha Gulycz）著；李惠璠，武永红主译.html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