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鹏峰之光</w:t>
      </w:r>
    </w:p>
    <w:p>
      <w:r>
        <w:rPr>
          <w:rFonts w:ascii="宋体" w:hAnsi="宋体" w:eastAsia="宋体"/>
          <w:sz w:val="24"/>
        </w:rPr>
        <w:t>振光中华教育科学基金会，南安诗山鹏峰郎裔基金会编；陈翼练主编；赵志斌，陈全宝副主编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振光中华教育科学基金会，南安诗山鹏峰郎裔基金会编；陈翼练主编；赵志斌，陈全宝副主编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本书出售、求购地址：https://www.jiaokey.com/book/detail/11548095.html</w:t>
      </w:r>
    </w:p>
    <w:p>
      <w:r>
        <w:t>更多相关图书推荐：https://www.jiaokey.com</w:t>
      </w:r>
    </w:p>
    <w:p>
      <w:r>
        <w:t>振光中华教育科学基金会，南安诗山鹏峰郎裔基金会编；陈翼练主编；赵志斌，陈全宝副主编 其他作品：https://www.jiaokey.com/tag/振光中华教育科学基金会，南安诗山鹏峰郎裔基金会编；陈翼练主编；赵志斌，陈全宝副主编.html</w:t>
      </w:r>
    </w:p>
    <w:p>
      <w:r>
        <w:t>关键词搜索：https://www.jiaokey.com/tag/鹏峰之光.html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