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C参考手册</w:t>
      </w:r>
    </w:p>
    <w:p>
      <w:r>
        <w:rPr>
          <w:rFonts w:ascii="宋体" w:hAnsi="宋体" w:eastAsia="宋体"/>
          <w:sz w:val="24"/>
        </w:rPr>
        <w:t>姚元，冷鹏，杨东华，冯劲，田峰，钮燕亨译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C参考手册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姚元，冷鹏，杨东华，冯劲，田峰，钮燕亨译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科海培训中心资料组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本书出售、求购地址：https://www.jiaokey.com/book/detail/11545749.html</w:t>
      </w:r>
    </w:p>
    <w:p>
      <w:r>
        <w:t>更多相关图书推荐：https://www.jiaokey.com</w:t>
      </w:r>
    </w:p>
    <w:p>
      <w:r>
        <w:t>姚元，冷鹏，杨东华，冯劲，田峰，钮燕亨译 其他作品：https://www.jiaokey.com/tag/姚元，冷鹏，杨东华，冯劲，田峰，钮燕亨译.html</w:t>
      </w:r>
    </w:p>
    <w:p>
      <w:r>
        <w:t>科海培训中心资料组 出版图书：https://www.jiaokey.com/tag/科海培训中心资料组.html</w:t>
      </w:r>
    </w:p>
    <w:p>
      <w:r>
        <w:t>关键词搜索：https://www.jiaokey.com/tag/TURBO C参考手册.html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