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工厂及工业经营  电力  规例指南</w:t>
      </w:r>
    </w:p>
    <w:p>
      <w:r>
        <w:rPr>
          <w:rFonts w:ascii="宋体" w:hAnsi="宋体" w:eastAsia="宋体"/>
          <w:sz w:val="24"/>
        </w:rPr>
        <w:t>香港劳工处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工厂及工业经营  电力  规例指南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本书出售、求购地址：https://www.jiaokey.com/book/detail/11542318.html</w:t>
      </w:r>
    </w:p>
    <w:p>
      <w:r>
        <w:t>更多相关图书推荐：https://www.jiaokey.com</w:t>
      </w:r>
    </w:p>
    <w:p>
      <w:r>
        <w:t>香港劳工处 其他作品：https://www.jiaokey.com/tag/香港劳工处.html</w:t>
      </w:r>
    </w:p>
    <w:p>
      <w:r>
        <w:t>香港劳工处 出版图书：https://www.jiaokey.com/tag/香港劳工处.html</w:t>
      </w:r>
    </w:p>
    <w:p>
      <w:r>
        <w:t>关键词搜索：https://www.jiaokey.com/tag/工厂及工业经营  电力  规例指南.html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