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  案例与教材  下  第3版</w:t>
      </w:r>
    </w:p>
    <w:p>
      <w:r>
        <w:rPr>
          <w:rFonts w:ascii="宋体" w:hAnsi="宋体" w:eastAsia="宋体"/>
          <w:sz w:val="24"/>
        </w:rPr>
        <w:t>弗里德里奇·凯斯勒 格兰特·吉尔摩 安东尼·T·克朗曼著；屈广清等译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  案例与教材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弗里德里奇·凯斯勒 格兰特·吉尔摩 安东尼·T·克朗曼著；屈广清等译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本书出售、求购地址：https://www.jiaokey.com/book/detail/11540246.html</w:t>
      </w:r>
    </w:p>
    <w:p>
      <w:r>
        <w:t>更多相关图书推荐：https://www.jiaokey.com</w:t>
      </w:r>
    </w:p>
    <w:p>
      <w:r>
        <w:t>弗里德里奇·凯斯勒 格兰特·吉尔摩 安东尼·T·克朗曼著；屈广清等译 其他作品：https://www.jiaokey.com/tag/弗里德里奇·凯斯勒 格兰特·吉尔摩 安东尼·T·克朗曼著；屈广清等译.html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关键词搜索：https://www.jiaokey.com/tag/合同法  案例与教材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