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联合劳动法院</w:t>
      </w:r>
    </w:p>
    <w:p>
      <w:r>
        <w:rPr>
          <w:rFonts w:ascii="宋体" w:hAnsi="宋体" w:eastAsia="宋体"/>
          <w:sz w:val="24"/>
        </w:rPr>
        <w:t>韦罗柳布·拉约维奇著；丁文琪译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联合劳动法院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韦罗柳布·拉约维奇著；丁文琪译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本书出售、求购地址：https://www.jiaokey.com/book/detail/11539668.html</w:t>
      </w:r>
    </w:p>
    <w:p>
      <w:r>
        <w:t>更多相关图书推荐：https://www.jiaokey.com</w:t>
      </w:r>
    </w:p>
    <w:p>
      <w:r>
        <w:t>韦罗柳布·拉约维奇著；丁文琪译 其他作品：https://www.jiaokey.com/tag/韦罗柳布·拉约维奇著；丁文琪译.html</w:t>
      </w:r>
    </w:p>
    <w:p>
      <w:r>
        <w:t>中国人民大学法律系 出版图书：https://www.jiaokey.com/tag/中国人民大学法律系.html</w:t>
      </w:r>
    </w:p>
    <w:p>
      <w:r>
        <w:t>关键词搜索：https://www.jiaokey.com/tag/联合劳动法院.html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