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科学发展观与中国特色社会主义</w:t>
      </w:r>
    </w:p>
    <w:p>
      <w:r>
        <w:rPr>
          <w:rFonts w:ascii="宋体" w:hAnsi="宋体" w:eastAsia="宋体"/>
          <w:sz w:val="24"/>
        </w:rPr>
        <w:t>冷溶主编；夏春涛副主编；中国社会科学院邓小平理论和“三个代表”重要思想研究中心编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冷溶主编；夏春涛副主编；中国社会科学院邓小平理论和“三个代表”重要思想研究中心编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本书出售、求购地址：https://www.jiaokey.com/book/detail/11538424.html</w:t>
      </w:r>
    </w:p>
    <w:p>
      <w:r>
        <w:t>更多相关图书推荐：https://www.jiaokey.com</w:t>
      </w:r>
    </w:p>
    <w:p>
      <w:r>
        <w:t>冷溶主编；夏春涛副主编；中国社会科学院邓小平理论和“三个代表”重要思想研究中心编 其他作品：https://www.jiaokey.com/tag/冷溶主编；夏春涛副主编；中国社会科学院邓小平理论和“三个代表”重要思想研究中心编.html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关键词搜索：https://www.jiaokey.com/tag/科学发展观与中国特色社会主义.html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