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结构可靠度方法</w:t>
      </w:r>
    </w:p>
    <w:p>
      <w:r>
        <w:rPr>
          <w:rFonts w:ascii="宋体" w:hAnsi="宋体" w:eastAsia="宋体"/>
          <w:sz w:val="24"/>
        </w:rPr>
        <w:t>（丹）O. 迪特莱夫森（Ove Ditlevsen），（挪）H. O. 麦德森（Henrik O. Madsen）著；何军译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（丹）O. 迪特莱夫森（Ove Ditlevsen），（挪）H. O. 麦德森（Henrik O. Madsen）著；何军译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本书出售、求购地址：https://www.jiaokey.com/book/detail/11532835.html</w:t>
      </w:r>
    </w:p>
    <w:p>
      <w:r>
        <w:t>更多相关图书推荐：https://www.jiaokey.com</w:t>
      </w:r>
    </w:p>
    <w:p>
      <w:r>
        <w:t>（丹）O. 迪特莱夫森（Ove Ditlevsen），（挪）H. O. 麦德森（Henrik O. Madsen）著；何军译 其他作品：https://www.jiaokey.com/tag/（丹）O. 迪特莱夫森（Ove Ditlevsen），（挪）H. O. 麦德森（Henrik O. Madsen）著；何军译.html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关键词搜索：https://www.jiaokey.com/tag/结构可靠度方法.html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