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发氟、指甲氟作为慢性氟中毒早期诊断指标的初步探讨</w:t>
      </w:r>
    </w:p>
    <w:p>
      <w:r>
        <w:rPr>
          <w:rFonts w:ascii="宋体" w:hAnsi="宋体" w:eastAsia="宋体"/>
          <w:sz w:val="24"/>
        </w:rPr>
        <w:t>包钢环保处职业病室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发氟、指甲氟作为慢性氟中毒早期诊断指标的初步探讨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包钢环保处职业病室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包钢环保处职业病室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本书出售、求购地址：https://www.jiaokey.com/book/detail/11531535.html</w:t>
      </w:r>
    </w:p>
    <w:p>
      <w:r>
        <w:t>更多相关图书推荐：https://www.jiaokey.com</w:t>
      </w:r>
    </w:p>
    <w:p>
      <w:r>
        <w:t>包钢环保处职业病室 其他作品：https://www.jiaokey.com/tag/包钢环保处职业病室.html</w:t>
      </w:r>
    </w:p>
    <w:p>
      <w:r>
        <w:t>包钢环保处职业病室 出版图书：https://www.jiaokey.com/tag/包钢环保处职业病室.html</w:t>
      </w:r>
    </w:p>
    <w:p>
      <w:r>
        <w:t>关键词搜索：https://www.jiaokey.com/tag/发氟、指甲氟作为慢性氟中毒早期诊断指标的初步探讨.html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