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常见病500疗方</w:t>
      </w:r>
    </w:p>
    <w:p>
      <w:r>
        <w:rPr>
          <w:rFonts w:ascii="宋体" w:hAnsi="宋体" w:eastAsia="宋体"/>
          <w:sz w:val="24"/>
        </w:rPr>
        <w:t>（英）海泽尔·科特尼，（英）加雷斯·泽尔著；黄昱宁，孙佩芬，胡震译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常见病500疗方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（英）海泽尔·科特尼，（英）加雷斯·泽尔著；黄昱宁，孙佩芬，胡震译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本书出售、求购地址：https://www.jiaokey.com/book/detail/11528541.html</w:t>
      </w:r>
    </w:p>
    <w:p>
      <w:r>
        <w:t>更多相关图书推荐：https://www.jiaokey.com</w:t>
      </w:r>
    </w:p>
    <w:p>
      <w:r>
        <w:t>（英）海泽尔·科特尼，（英）加雷斯·泽尔著；黄昱宁，孙佩芬，胡震译 其他作品：https://www.jiaokey.com/tag/（英）海泽尔·科特尼，（英）加雷斯·泽尔著；黄昱宁，孙佩芬，胡震译.html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关键词搜索：https://www.jiaokey.com/tag/常见病500疗方.html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