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“五四”文学审美精神与现代中国文学</w:t>
      </w:r>
    </w:p>
    <w:p>
      <w:r>
        <w:rPr>
          <w:rFonts w:ascii="宋体" w:hAnsi="宋体" w:eastAsia="宋体"/>
          <w:sz w:val="24"/>
        </w:rPr>
        <w:t>冉占彩主编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“五四”文学审美精神与现代中国文学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冉占彩主编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本书出售、求购地址：https://www.jiaokey.com/book/detail/11527588.html</w:t>
      </w:r>
    </w:p>
    <w:p>
      <w:r>
        <w:t>更多相关图书推荐：https://www.jiaokey.com</w:t>
      </w:r>
    </w:p>
    <w:p>
      <w:r>
        <w:t>冉占彩主编 其他作品：https://www.jiaokey.com/tag/冉占彩主编.html</w:t>
      </w:r>
    </w:p>
    <w:p>
      <w:r>
        <w:t>关键词搜索：https://www.jiaokey.com/tag/“五四”文学审美精神与现代中国文学.html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