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钢结构设计与计算  第2版</w:t>
      </w:r>
    </w:p>
    <w:p>
      <w:r>
        <w:rPr>
          <w:rFonts w:ascii="宋体" w:hAnsi="宋体" w:eastAsia="宋体"/>
          <w:sz w:val="24"/>
        </w:rPr>
        <w:t>包头钢铁设计研究总院，中国钢结构协会房屋建筑钢结构协会编著；柴昶，宋曼华主编；王清，文双玲副主编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钢结构设计与计算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包头钢铁设计研究总院，中国钢结构协会房屋建筑钢结构协会编著；柴昶，宋曼华主编；王清，文双玲副主编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本书出售、求购地址：https://www.jiaokey.com/book/detail/11525800.html</w:t>
      </w:r>
    </w:p>
    <w:p>
      <w:r>
        <w:t>更多相关图书推荐：https://www.jiaokey.com</w:t>
      </w:r>
    </w:p>
    <w:p>
      <w:r>
        <w:t>包头钢铁设计研究总院，中国钢结构协会房屋建筑钢结构协会编著；柴昶，宋曼华主编；王清，文双玲副主编 其他作品：https://www.jiaokey.com/tag/包头钢铁设计研究总院，中国钢结构协会房屋建筑钢结构协会编著；柴昶，宋曼华主编；王清，文双玲副主编.html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关键词搜索：https://www.jiaokey.com/tag/钢结构设计与计算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