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如何维持高效率的资金周转力？</w:t>
      </w:r>
    </w:p>
    <w:p>
      <w:r>
        <w:rPr>
          <w:rFonts w:ascii="宋体" w:hAnsi="宋体" w:eastAsia="宋体"/>
          <w:sz w:val="24"/>
        </w:rPr>
        <w:t>陈国钟编著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如何维持高效率的资金周转力？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本书出售、求购地址：https://www.jiaokey.com/book/detail/11525379.html</w:t>
      </w:r>
    </w:p>
    <w:p>
      <w:r>
        <w:t>更多相关图书推荐：https://www.jiaokey.com</w:t>
      </w:r>
    </w:p>
    <w:p>
      <w:r>
        <w:t>陈国钟编著 其他作品：https://www.jiaokey.com/tag/陈国钟编著.html</w:t>
      </w:r>
    </w:p>
    <w:p>
      <w:r>
        <w:t>永庆出版社 出版图书：https://www.jiaokey.com/tag/永庆出版社.html</w:t>
      </w:r>
    </w:p>
    <w:p>
      <w:r>
        <w:t>关键词搜索：https://www.jiaokey.com/tag/如何维持高效率的资金周转力？.html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