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海淀人大现象</w:t>
      </w:r>
    </w:p>
    <w:p>
      <w:r>
        <w:rPr>
          <w:rFonts w:ascii="宋体" w:hAnsi="宋体" w:eastAsia="宋体"/>
          <w:sz w:val="24"/>
        </w:rPr>
        <w:t>席文启，胡桂枝主编；人民代表大会制度研究所，北京市海淀区人大常委会编著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海淀人大现象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席文启，胡桂枝主编；人民代表大会制度研究所，北京市海淀区人大常委会编著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本书出售、求购地址：https://www.jiaokey.com/book/detail/11522755.html</w:t>
      </w:r>
    </w:p>
    <w:p>
      <w:r>
        <w:t>更多相关图书推荐：https://www.jiaokey.com</w:t>
      </w:r>
    </w:p>
    <w:p>
      <w:r>
        <w:t>席文启，胡桂枝主编；人民代表大会制度研究所，北京市海淀区人大常委会编著 其他作品：https://www.jiaokey.com/tag/席文启，胡桂枝主编；人民代表大会制度研究所，北京市海淀区人大常委会编著.html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关键词搜索：https://www.jiaokey.com/tag/海淀人大现象.html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