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钢结构基本原理</w:t>
      </w:r>
    </w:p>
    <w:p>
      <w:r>
        <w:rPr>
          <w:rFonts w:ascii="宋体" w:hAnsi="宋体" w:eastAsia="宋体"/>
          <w:sz w:val="24"/>
        </w:rPr>
        <w:t>王仕统主编；韩小雷，陈兰，裴若娟，季静，徐忠根参编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王仕统主编；韩小雷，陈兰，裴若娟，季静，徐忠根参编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本书出售、求购地址：https://www.jiaokey.com/book/detail/11517458.html</w:t>
      </w:r>
    </w:p>
    <w:p>
      <w:r>
        <w:t>更多相关图书推荐：https://www.jiaokey.com</w:t>
      </w:r>
    </w:p>
    <w:p>
      <w:r>
        <w:t>王仕统主编；韩小雷，陈兰，裴若娟，季静，徐忠根参编 其他作品：https://www.jiaokey.com/tag/王仕统主编；韩小雷，陈兰，裴若娟，季静，徐忠根参编.html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关键词搜索：https://www.jiaokey.com/tag/钢结构基本原理.html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