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短文改错精解</w:t>
      </w:r>
    </w:p>
    <w:p>
      <w:r>
        <w:rPr>
          <w:rFonts w:ascii="宋体" w:hAnsi="宋体" w:eastAsia="宋体"/>
          <w:sz w:val="24"/>
        </w:rPr>
        <w:t>黄炳灵主编；欧阳郁华，卢汉梅，孟莲英，万小军，徐青编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短文改错精解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黄炳灵主编；欧阳郁华，卢汉梅，孟莲英，万小军，徐青编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本书出售、求购地址：https://www.jiaokey.com/book/detail/11514389.html</w:t>
      </w:r>
    </w:p>
    <w:p>
      <w:r>
        <w:t>更多相关图书推荐：https://www.jiaokey.com</w:t>
      </w:r>
    </w:p>
    <w:p>
      <w:r>
        <w:t>黄炳灵主编；欧阳郁华，卢汉梅，孟莲英，万小军，徐青编 其他作品：https://www.jiaokey.com/tag/黄炳灵主编；欧阳郁华，卢汉梅，孟莲英，万小军，徐青编.html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关键词搜索：https://www.jiaokey.com/tag/短文改错精解.html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