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小灰色人</w:t>
      </w:r>
    </w:p>
    <w:p>
      <w:r>
        <w:rPr>
          <w:rFonts w:ascii="宋体" w:hAnsi="宋体" w:eastAsia="宋体"/>
          <w:sz w:val="24"/>
        </w:rPr>
        <w:t>邓九平，刘蕴杰主编；（法）爱德华·拉布莱依著；陈学昭，董天琦等译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小灰色人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邓九平，刘蕴杰主编；（法）爱德华·拉布莱依著；陈学昭，董天琦等译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本书出售、求购地址：https://www.jiaokey.com/book/detail/11514100.html</w:t>
      </w:r>
    </w:p>
    <w:p>
      <w:r>
        <w:t>更多相关图书推荐：https://www.jiaokey.com</w:t>
      </w:r>
    </w:p>
    <w:p>
      <w:r>
        <w:t>邓九平，刘蕴杰主编；（法）爱德华·拉布莱依著；陈学昭，董天琦等译 其他作品：https://www.jiaokey.com/tag/邓九平，刘蕴杰主编；（法）爱德华·拉布莱依著；陈学昭，董天琦等译.html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关键词搜索：https://www.jiaokey.com/tag/小灰色人.html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