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品牌资产</w:t>
      </w:r>
    </w:p>
    <w:p>
      <w:r>
        <w:rPr>
          <w:rFonts w:ascii="宋体" w:hAnsi="宋体" w:eastAsia="宋体"/>
          <w:sz w:val="24"/>
        </w:rPr>
        <w:t>（美）萨姆·希尔（Sam Hill），（美）克里斯·莱德勒（Chris Lederer）著；白长虹等译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品牌资产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（美）萨姆·希尔（Sam Hill），（美）克里斯·莱德勒（Chris Lederer）著；白长虹等译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本书出售、求购地址：https://www.jiaokey.com/book/detail/11508701.html</w:t>
      </w:r>
    </w:p>
    <w:p>
      <w:r>
        <w:t>更多相关图书推荐：https://www.jiaokey.com</w:t>
      </w:r>
    </w:p>
    <w:p>
      <w:r>
        <w:t>（美）萨姆·希尔（Sam Hill），（美）克里斯·莱德勒（Chris Lederer）著；白长虹等译 其他作品：https://www.jiaokey.com/tag/（美）萨姆·希尔（Sam Hill），（美）克里斯·莱德勒（Chris Lederer）著；白长虹等译.html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