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600MWE核电站事故工况下气态排出物环境弥散模式、参数与程序</w:t>
      </w:r>
    </w:p>
    <w:p>
      <w:r>
        <w:rPr>
          <w:rFonts w:ascii="宋体" w:hAnsi="宋体" w:eastAsia="宋体"/>
          <w:sz w:val="24"/>
        </w:rPr>
        <w:t>胡二邦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600MWE核电站事故工况下气态排出物环境弥散模式、参数与程序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胡二邦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本书出售、求购地址：https://www.jiaokey.com/book/detail/11503925.html</w:t>
      </w:r>
    </w:p>
    <w:p>
      <w:r>
        <w:t>更多相关图书推荐：https://www.jiaokey.com</w:t>
      </w:r>
    </w:p>
    <w:p>
      <w:r>
        <w:t>胡二邦 其他作品：https://www.jiaokey.com/tag/胡二邦.html</w:t>
      </w:r>
    </w:p>
    <w:p>
      <w:r>
        <w:t>关键词搜索：https://www.jiaokey.com/tag/中国核科技报告  600MWE核电站事故工况下气态排出物环境弥散模式、参数与程序.html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