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</w:t>
      </w:r>
    </w:p>
    <w:p>
      <w:r>
        <w:rPr>
          <w:rFonts w:ascii="宋体" w:hAnsi="宋体" w:eastAsia="宋体"/>
          <w:sz w:val="24"/>
        </w:rPr>
        <w:t>（俄）З.А.佐里娜，（俄）И.И.波列塔叶娃著；何书林，赵秋长译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（俄）З.А.佐里娜，（俄）И.И.波列塔叶娃著；何书林，赵秋长译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本书出售、求购地址：https://www.jiaokey.com/book/detail/11501014.html</w:t>
      </w:r>
    </w:p>
    <w:p>
      <w:r>
        <w:t>更多相关图书推荐：https://www.jiaokey.com</w:t>
      </w:r>
    </w:p>
    <w:p>
      <w:r>
        <w:t>（俄）З.А.佐里娜，（俄）И.И.波列塔叶娃著；何书林，赵秋长译 其他作品：https://www.jiaokey.com/tag/（俄）З.А.佐里娜，（俄）И.И.波列塔叶娃著；何书林，赵秋长译.html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关键词搜索：https://www.jiaokey.com/tag/动物行为.html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