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</w:t>
      </w:r>
    </w:p>
    <w:p>
      <w:r>
        <w:rPr>
          <w:rFonts w:ascii="宋体" w:hAnsi="宋体" w:eastAsia="宋体"/>
          <w:sz w:val="24"/>
        </w:rPr>
        <w:t>胡济耀主编；邓桂妹，吴如中，雷宇，蔡李丽编著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胡济耀主编；邓桂妹，吴如中，雷宇，蔡李丽编著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本书出售、求购地址：https://www.jiaokey.com/book/detail/11499027.html</w:t>
      </w:r>
    </w:p>
    <w:p>
      <w:r>
        <w:t>更多相关图书推荐：https://www.jiaokey.com</w:t>
      </w:r>
    </w:p>
    <w:p>
      <w:r>
        <w:t>胡济耀主编；邓桂妹，吴如中，雷宇，蔡李丽编著 其他作品：https://www.jiaokey.com/tag/胡济耀主编；邓桂妹，吴如中，雷宇，蔡李丽编著.html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