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局域网故障排除及应急技巧</w:t>
      </w:r>
    </w:p>
    <w:p>
      <w:r>
        <w:rPr>
          <w:rFonts w:ascii="宋体" w:hAnsi="宋体" w:eastAsia="宋体"/>
          <w:sz w:val="24"/>
        </w:rPr>
        <w:t>杨健，张瀚文；李军，杨榕桦等著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局域网故障排除及应急技巧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杨健，张瀚文；李军，杨榕桦等著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电脑爱好者杂志社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本书出售、求购地址：https://www.jiaokey.com/book/detail/11494024.html</w:t>
      </w:r>
    </w:p>
    <w:p>
      <w:r>
        <w:t>更多相关图书推荐：https://www.jiaokey.com</w:t>
      </w:r>
    </w:p>
    <w:p>
      <w:r>
        <w:t>杨健，张瀚文；李军，杨榕桦等著 其他作品：https://www.jiaokey.com/tag/杨健，张瀚文；李军，杨榕桦等著.html</w:t>
      </w:r>
    </w:p>
    <w:p>
      <w:r>
        <w:t>电脑爱好者杂志社 出版图书：https://www.jiaokey.com/tag/电脑爱好者杂志社.html</w:t>
      </w:r>
    </w:p>
    <w:p>
      <w:r>
        <w:t>关键词搜索：https://www.jiaokey.com/tag/局域网故障排除及应急技巧.html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