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十年磨一剑  《中华人民共和国未成年人保护法》创制实录</w:t>
      </w:r>
    </w:p>
    <w:p>
      <w:r>
        <w:rPr>
          <w:rFonts w:ascii="宋体" w:hAnsi="宋体" w:eastAsia="宋体"/>
          <w:sz w:val="24"/>
        </w:rPr>
        <w:t>共青团中央立法工作办公室，全国人大常委会法工委国家法行政法室编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十年磨一剑  《中华人民共和国未成年人保护法》创制实录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共青团中央立法工作办公室，全国人大常委会法工委国家法行政法室编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本书出售、求购地址：https://www.jiaokey.com/book/detail/11492056.html</w:t>
      </w:r>
    </w:p>
    <w:p>
      <w:r>
        <w:t>更多相关图书推荐：https://www.jiaokey.com</w:t>
      </w:r>
    </w:p>
    <w:p>
      <w:r>
        <w:t>共青团中央立法工作办公室，全国人大常委会法工委国家法行政法室编 其他作品：https://www.jiaokey.com/tag/共青团中央立法工作办公室，全国人大常委会法工委国家法行政法室编.html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关键词搜索：https://www.jiaokey.com/tag/十年磨一剑  《中华人民共和国未成年人保护法》创制实录.html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