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德国生态水景设计  规划、设计和建筑中水资源的利用</w:t>
      </w:r>
    </w:p>
    <w:p>
      <w:r>
        <w:rPr>
          <w:rFonts w:ascii="宋体" w:hAnsi="宋体" w:eastAsia="宋体"/>
          <w:sz w:val="24"/>
        </w:rPr>
        <w:t>（德）赫伯特·德莱塞特尔（Herbert Dreiseitl）等编辑；任静，赵黎明翻译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德国生态水景设计  规划、设计和建筑中水资源的利用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（德）赫伯特·德莱塞特尔（Herbert Dreiseitl）等编辑；任静，赵黎明翻译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本书出售、求购地址：https://www.jiaokey.com/book/detail/11491120.html</w:t>
      </w:r>
    </w:p>
    <w:p>
      <w:r>
        <w:t>更多相关图书推荐：https://www.jiaokey.com</w:t>
      </w:r>
    </w:p>
    <w:p>
      <w:r>
        <w:t>（德）赫伯特·德莱塞特尔（Herbert Dreiseitl）等编辑；任静，赵黎明翻译 其他作品：https://www.jiaokey.com/tag/（德）赫伯特·德莱塞特尔（Herbert Dreiseitl）等编辑；任静，赵黎明翻译.html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关键词搜索：https://www.jiaokey.com/tag/德国生态水景设计  规划、设计和建筑中水资源的利用.html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