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日本国有铁道混凝土结构设计标准和解释</w:t>
      </w:r>
    </w:p>
    <w:p>
      <w:r>
        <w:rPr>
          <w:rFonts w:ascii="宋体" w:hAnsi="宋体" w:eastAsia="宋体"/>
          <w:sz w:val="24"/>
        </w:rPr>
        <w:t>基建总局编译组译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日本国有铁道混凝土结构设计标准和解释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基建总局编译组译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本书出售、求购地址：https://www.jiaokey.com/book/detail/11491048.html</w:t>
      </w:r>
    </w:p>
    <w:p>
      <w:r>
        <w:t>更多相关图书推荐：https://www.jiaokey.com</w:t>
      </w:r>
    </w:p>
    <w:p>
      <w:r>
        <w:t>基建总局编译组译 其他作品：https://www.jiaokey.com/tag/基建总局编译组译.html</w:t>
      </w:r>
    </w:p>
    <w:p>
      <w:r>
        <w:t>人民铁道出版社 出版图书：https://www.jiaokey.com/tag/人民铁道出版社.html</w:t>
      </w:r>
    </w:p>
    <w:p>
      <w:r>
        <w:t>关键词搜索：https://www.jiaokey.com/tag/日本国有铁道混凝土结构设计标准和解释.html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