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股权分置与上市公司投资行为</w:t>
      </w:r>
    </w:p>
    <w:p>
      <w:r>
        <w:rPr>
          <w:rFonts w:ascii="宋体" w:hAnsi="宋体" w:eastAsia="宋体"/>
          <w:sz w:val="24"/>
        </w:rPr>
        <w:t>李振明著（中国航天科工集团公司资产运营部）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股权分置与上市公司投资行为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李振明著（中国航天科工集团公司资产运营部）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本书出售、求购地址：https://www.jiaokey.com/book/detail/11490782.html</w:t>
      </w:r>
    </w:p>
    <w:p>
      <w:r>
        <w:t>更多相关图书推荐：https://www.jiaokey.com</w:t>
      </w:r>
    </w:p>
    <w:p>
      <w:r>
        <w:t>李振明著（中国航天科工集团公司资产运营部） 其他作品：https://www.jiaokey.com/tag/李振明著（中国航天科工集团公司资产运营部）.html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关键词搜索：https://www.jiaokey.com/tag/股权分置与上市公司投资行为.html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