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新兴市场中的法律问题研究</w:t>
      </w:r>
    </w:p>
    <w:p>
      <w:r>
        <w:rPr>
          <w:rFonts w:ascii="宋体" w:hAnsi="宋体" w:eastAsia="宋体"/>
          <w:sz w:val="24"/>
        </w:rPr>
        <w:t>顾功耘主编；吴弘，徐士英，姚慧娥，唐荣智，顾功耘，董保华，廖瑛编著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新兴市场中的法律问题研究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顾功耘主编；吴弘，徐士英，姚慧娥，唐荣智，顾功耘，董保华，廖瑛编著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本书出售、求购地址：https://www.jiaokey.com/book/detail/11489489.html</w:t>
      </w:r>
    </w:p>
    <w:p>
      <w:r>
        <w:t>更多相关图书推荐：https://www.jiaokey.com</w:t>
      </w:r>
    </w:p>
    <w:p>
      <w:r>
        <w:t>顾功耘主编；吴弘，徐士英，姚慧娥，唐荣智，顾功耘，董保华，廖瑛编著 其他作品：https://www.jiaokey.com/tag/顾功耘主编；吴弘，徐士英，姚慧娥，唐荣智，顾功耘，董保华，廖瑛编著.html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关键词搜索：https://www.jiaokey.com/tag/新兴市场中的法律问题研究.html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