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司法文书档案管理</w:t>
      </w:r>
    </w:p>
    <w:p>
      <w:r>
        <w:rPr>
          <w:rFonts w:ascii="宋体" w:hAnsi="宋体" w:eastAsia="宋体"/>
          <w:sz w:val="24"/>
        </w:rPr>
        <w:t>程世祥，赵佩珍编著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司法文书档案管理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程世祥，赵佩珍编著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北京：档案出版社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本书出售、求购地址：https://www.jiaokey.com/book/detail/11489422.html</w:t>
      </w:r>
    </w:p>
    <w:p>
      <w:r>
        <w:t>更多相关图书推荐：https://www.jiaokey.com</w:t>
      </w:r>
    </w:p>
    <w:p>
      <w:r>
        <w:t>程世祥，赵佩珍编著 其他作品：https://www.jiaokey.com/tag/程世祥，赵佩珍编著.html</w:t>
      </w:r>
    </w:p>
    <w:p>
      <w:r>
        <w:t>北京：档案出版社 出版图书：https://www.jiaokey.com/tag/北京：档案出版社.html</w:t>
      </w:r>
    </w:p>
    <w:p>
      <w:r>
        <w:t>关键词搜索：https://www.jiaokey.com/tag/司法文书档案管理.html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