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利润究竟在哪里  企业如何挖掘20%的潜利润</w:t>
      </w:r>
    </w:p>
    <w:p>
      <w:r>
        <w:rPr>
          <w:rFonts w:ascii="宋体" w:hAnsi="宋体" w:eastAsia="宋体"/>
          <w:sz w:val="24"/>
        </w:rPr>
        <w:t>（澳）尼维莱·雷克（Neville Lake）著；肖明，胡志颖译（普华永道咨询部）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利润究竟在哪里  企业如何挖掘20%的潜利润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（澳）尼维莱·雷克（Neville Lake）著；肖明，胡志颖译（普华永道咨询部）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本书出售、求购地址：https://www.jiaokey.com/book/detail/11488386.html</w:t>
      </w:r>
    </w:p>
    <w:p>
      <w:r>
        <w:t>更多相关图书推荐：https://www.jiaokey.com</w:t>
      </w:r>
    </w:p>
    <w:p>
      <w:r>
        <w:t>（澳）尼维莱·雷克（Neville Lake）著；肖明，胡志颖译（普华永道咨询部） 其他作品：https://www.jiaokey.com/tag/（澳）尼维莱·雷克（Neville Lake）著；肖明，胡志颖译（普华永道咨询部）.html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关键词搜索：https://www.jiaokey.com/tag/利润究竟在哪里  企业如何挖掘20%的潜利润.html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