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社会主义人权概念</w:t>
      </w:r>
    </w:p>
    <w:p>
      <w:r>
        <w:rPr>
          <w:rFonts w:ascii="宋体" w:hAnsi="宋体" w:eastAsia="宋体"/>
          <w:sz w:val="24"/>
        </w:rPr>
        <w:t>（苏）B·奇希克瓦泽 E·卢卡绍娃主编；范习新译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社会主义人权概念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（苏）B·奇希克瓦泽 E·卢卡绍娃主编；范习新译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本书出售、求购地址：https://www.jiaokey.com/book/detail/11487887.html</w:t>
      </w:r>
    </w:p>
    <w:p>
      <w:r>
        <w:t>更多相关图书推荐：https://www.jiaokey.com</w:t>
      </w:r>
    </w:p>
    <w:p>
      <w:r>
        <w:t>（苏）B·奇希克瓦泽 E·卢卡绍娃主编；范习新译 其他作品：https://www.jiaokey.com/tag/（苏）B·奇希克瓦泽 E·卢卡绍娃主编；范习新译.html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关键词搜索：https://www.jiaokey.com/tag/社会主义人权概念.html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