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城市污水再生利用系列标准实施指南  1</w:t>
      </w:r>
    </w:p>
    <w:p>
      <w:r>
        <w:rPr>
          <w:rFonts w:ascii="宋体" w:hAnsi="宋体" w:eastAsia="宋体"/>
          <w:sz w:val="24"/>
        </w:rPr>
        <w:t>黄金屏等主编；《城市污水再生利用系列标准实施指南》编审组编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城市污水再生利用系列标准实施指南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黄金屏等主编；《城市污水再生利用系列标准实施指南》编审组编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本书出售、求购地址：https://www.jiaokey.com/book/detail/11485758.html</w:t>
      </w:r>
    </w:p>
    <w:p>
      <w:r>
        <w:t>更多相关图书推荐：https://www.jiaokey.com</w:t>
      </w:r>
    </w:p>
    <w:p>
      <w:r>
        <w:t>黄金屏等主编；《城市污水再生利用系列标准实施指南》编审组编 其他作品：https://www.jiaokey.com/tag/黄金屏等主编；《城市污水再生利用系列标准实施指南》编审组编.html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关键词搜索：https://www.jiaokey.com/tag/城市污水再生利用系列标准实施指南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