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海洋生物的功能适应</w:t>
      </w:r>
    </w:p>
    <w:p>
      <w:r>
        <w:rPr>
          <w:rFonts w:ascii="宋体" w:hAnsi="宋体" w:eastAsia="宋体"/>
          <w:sz w:val="24"/>
        </w:rPr>
        <w:t>（美）弗恩伯格（Vernberg，F.J.），（美）弗恩伯格（Vernberg，W.B.）主编；郑义水，周秋麟译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海洋生物的功能适应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（美）弗恩伯格（Vernberg，F.J.），（美）弗恩伯格（Vernberg，W.B.）主编；郑义水，周秋麟译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本书出售、求购地址：https://www.jiaokey.com/book/detail/11485255.html</w:t>
      </w:r>
    </w:p>
    <w:p>
      <w:r>
        <w:t>更多相关图书推荐：https://www.jiaokey.com</w:t>
      </w:r>
    </w:p>
    <w:p>
      <w:r>
        <w:t>（美）弗恩伯格（Vernberg，F.J.），（美）弗恩伯格（Vernberg，W.B.）主编；郑义水，周秋麟译 其他作品：https://www.jiaokey.com/tag/（美）弗恩伯格（Vernberg，F.J.），（美）弗恩伯格（Vernberg，W.B.）主编；郑义水，周秋麟译.html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关键词搜索：https://www.jiaokey.com/tag/海洋生物的功能适应.html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