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</w:t>
      </w:r>
    </w:p>
    <w:p>
      <w:r>
        <w:rPr>
          <w:rFonts w:ascii="宋体" w:hAnsi="宋体" w:eastAsia="宋体"/>
          <w:sz w:val="24"/>
        </w:rPr>
        <w:t>（日）友田好文，高野健三著；李若纯，井传才译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（日）友田好文，高野健三著；李若纯，井传才译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本书出售、求购地址：https://www.jiaokey.com/book/detail/11484878.html</w:t>
      </w:r>
    </w:p>
    <w:p>
      <w:r>
        <w:t>更多相关图书推荐：https://www.jiaokey.com</w:t>
      </w:r>
    </w:p>
    <w:p>
      <w:r>
        <w:t>（日）友田好文，高野健三著；李若纯，井传才译 其他作品：https://www.jiaokey.com/tag/（日）友田好文，高野健三著；李若纯，井传才译.html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