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“扫黄”新编：政策·法规·经验·案例</w:t>
      </w:r>
    </w:p>
    <w:p>
      <w:r>
        <w:rPr>
          <w:rFonts w:ascii="宋体" w:hAnsi="宋体" w:eastAsia="宋体"/>
          <w:sz w:val="24"/>
        </w:rPr>
        <w:t>中华人民共和国新闻出版署  中共中央办公厅调研室编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“扫黄”新编：政策·法规·经验·案例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中华人民共和国新闻出版署  中共中央办公厅调研室编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本书出售、求购地址：https://www.jiaokey.com/book/detail/11484777.html</w:t>
      </w:r>
    </w:p>
    <w:p>
      <w:r>
        <w:t>更多相关图书推荐：https://www.jiaokey.com</w:t>
      </w:r>
    </w:p>
    <w:p>
      <w:r>
        <w:t>中华人民共和国新闻出版署  中共中央办公厅调研室编 其他作品：https://www.jiaokey.com/tag/中华人民共和国新闻出版署  中共中央办公厅调研室编.html</w:t>
      </w:r>
    </w:p>
    <w:p>
      <w:r>
        <w:t>关键词搜索：https://www.jiaokey.com/tag/“扫黄”新编：政策·法规·经验·案例.html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