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第四分册  英国的自然主义</w:t>
      </w:r>
    </w:p>
    <w:p>
      <w:r>
        <w:rPr>
          <w:rFonts w:ascii="宋体" w:hAnsi="宋体" w:eastAsia="宋体"/>
          <w:sz w:val="24"/>
        </w:rPr>
        <w:t>勃兰兑斯编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第四分册  英国的自然主义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勃兰兑斯编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本书出售、求购地址：https://www.jiaokey.com/book/detail/11479934.html</w:t>
      </w:r>
    </w:p>
    <w:p>
      <w:r>
        <w:t>更多相关图书推荐：https://www.jiaokey.com</w:t>
      </w:r>
    </w:p>
    <w:p>
      <w:r>
        <w:t>勃兰兑斯编 其他作品：https://www.jiaokey.com/tag/勃兰兑斯编.html</w:t>
      </w:r>
    </w:p>
    <w:p>
      <w:r>
        <w:t>人民文学出版社 出版图书：https://www.jiaokey.com/tag/人民文学出版社.html</w:t>
      </w:r>
    </w:p>
    <w:p>
      <w:r>
        <w:t>关键词搜索：https://www.jiaokey.com/tag/十九世纪文学主流  第四分册  英国的自然主义.html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