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欧洲和非洲林业立法趋势</w:t>
      </w:r>
    </w:p>
    <w:p>
      <w:r>
        <w:rPr>
          <w:rFonts w:ascii="宋体" w:hAnsi="宋体" w:eastAsia="宋体"/>
          <w:sz w:val="24"/>
        </w:rPr>
        <w:t>M.T.希瑞里等著；联合国粮农组织法律办公室立法处编 皮介郑等译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欧洲和非洲林业立法趋势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M.T.希瑞里等著；联合国粮农组织法律办公室立法处编 皮介郑等译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本书出售、求购地址：https://www.jiaokey.com/book/detail/11479498.html</w:t>
      </w:r>
    </w:p>
    <w:p>
      <w:r>
        <w:t>更多相关图书推荐：https://www.jiaokey.com</w:t>
      </w:r>
    </w:p>
    <w:p>
      <w:r>
        <w:t>M.T.希瑞里等著；联合国粮农组织法律办公室立法处编 皮介郑等译 其他作品：https://www.jiaokey.com/tag/M.T.希瑞里等著；联合国粮农组织法律办公室立法处编 皮介郑等译.html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关键词搜索：https://www.jiaokey.com/tag/欧洲和非洲林业立法趋势.html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