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格言联璧</w:t>
      </w:r>
    </w:p>
    <w:p>
      <w:r>
        <w:rPr>
          <w:rFonts w:ascii="宋体" w:hAnsi="宋体" w:eastAsia="宋体"/>
          <w:sz w:val="24"/>
        </w:rPr>
        <w:t>（清）金兰生先生编述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（清）金兰生先生编述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三重浄宗学会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本书出售、求购地址：https://www.jiaokey.com/book/detail/11475725.html</w:t>
      </w:r>
    </w:p>
    <w:p>
      <w:r>
        <w:t>更多相关图书推荐：https://www.jiaokey.com</w:t>
      </w:r>
    </w:p>
    <w:p>
      <w:r>
        <w:t>（清）金兰生先生编述 其他作品：https://www.jiaokey.com/tag/（清）金兰生先生编述.html</w:t>
      </w:r>
    </w:p>
    <w:p>
      <w:r>
        <w:t>三重浄宗学会 出版图书：https://www.jiaokey.com/tag/三重浄宗学会.html</w:t>
      </w:r>
    </w:p>
    <w:p>
      <w:r>
        <w:t>关键词搜索：https://www.jiaokey.com/tag/格言联璧.html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