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网络广告原理与实务</w:t>
      </w:r>
    </w:p>
    <w:p>
      <w:r>
        <w:rPr>
          <w:rFonts w:ascii="宋体" w:hAnsi="宋体" w:eastAsia="宋体"/>
          <w:sz w:val="24"/>
        </w:rPr>
        <w:t>巢乃鹏，杜骏飞主编；耿婷，蒋恩铭，南海芬，桑蕴倩，张峰编写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巢乃鹏，杜骏飞主编；耿婷，蒋恩铭，南海芬，桑蕴倩，张峰编写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本书出售、求购地址：https://www.jiaokey.com/book/detail/11475660.html</w:t>
      </w:r>
    </w:p>
    <w:p>
      <w:r>
        <w:t>更多相关图书推荐：https://www.jiaokey.com</w:t>
      </w:r>
    </w:p>
    <w:p>
      <w:r>
        <w:t>巢乃鹏，杜骏飞主编；耿婷，蒋恩铭，南海芬，桑蕴倩，张峰编写 其他作品：https://www.jiaokey.com/tag/巢乃鹏，杜骏飞主编；耿婷，蒋恩铭，南海芬，桑蕴倩，张峰编写.html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关键词搜索：https://www.jiaokey.com/tag/计算机网络-广告学.html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